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应用基础·Windows 2000环境</w:t>
      </w:r>
    </w:p>
    <w:p>
      <w:r>
        <w:rPr>
          <w:rFonts w:ascii="宋体" w:hAnsi="宋体" w:eastAsia="宋体"/>
          <w:sz w:val="24"/>
        </w:rPr>
        <w:t>卢湘鸿主编；毛汉书，潘晓南，王忠芝，樊太志，吴志山，卢卫等编著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应用基础·Windows 2000环境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卢湘鸿主编；毛汉书，潘晓南，王忠芝，樊太志，吴志山，卢卫等编著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本书出售、求购地址：https://www.jiaokey.com/book/detail/11371982.html</w:t>
      </w:r>
    </w:p>
    <w:p>
      <w:r>
        <w:t>更多相关图书推荐：https://www.jiaokey.com</w:t>
      </w:r>
    </w:p>
    <w:p>
      <w:r>
        <w:t>卢湘鸿主编；毛汉书，潘晓南，王忠芝，樊太志，吴志山，卢卫等编著 其他作品：https://www.jiaokey.com/tag/卢湘鸿主编；毛汉书，潘晓南，王忠芝，樊太志，吴志山，卢卫等编著.html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 应用基础·Windows 2000环境.html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