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山东宏观经济  2001年形势与对策</w:t>
      </w:r>
    </w:p>
    <w:p>
      <w:r>
        <w:rPr>
          <w:rFonts w:ascii="宋体" w:hAnsi="宋体" w:eastAsia="宋体"/>
          <w:sz w:val="24"/>
        </w:rPr>
        <w:t>王庆新主编；山东省宏观经济形势分析课题组编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山东宏观经济  2001年形势与对策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王庆新主编；山东省宏观经济形势分析课题组编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本书出售、求购地址：https://www.jiaokey.com/book/detail/11369594.html</w:t>
      </w:r>
    </w:p>
    <w:p>
      <w:r>
        <w:t>更多相关图书推荐：https://www.jiaokey.com</w:t>
      </w:r>
    </w:p>
    <w:p>
      <w:r>
        <w:t>王庆新主编；山东省宏观经济形势分析课题组编 其他作品：https://www.jiaokey.com/tag/王庆新主编；山东省宏观经济形势分析课题组编.html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关键词搜索：https://www.jiaokey.com/tag/山东宏观经济  2001年形势与对策.html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