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画眉记</w:t>
      </w:r>
    </w:p>
    <w:p>
      <w:r>
        <w:rPr>
          <w:rFonts w:ascii="宋体" w:hAnsi="宋体" w:eastAsia="宋体"/>
          <w:sz w:val="24"/>
        </w:rPr>
        <w:t>朱天文著；刘俊，蔡晓妮主编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朱天文著；刘俊，蔡晓妮主编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本书出售、求购地址：https://www.jiaokey.com/book/detail/11363307.html</w:t>
      </w:r>
    </w:p>
    <w:p>
      <w:r>
        <w:t>更多相关图书推荐：https://www.jiaokey.com</w:t>
      </w:r>
    </w:p>
    <w:p>
      <w:r>
        <w:t>朱天文著；刘俊，蔡晓妮主编 其他作品：https://www.jiaokey.com/tag/朱天文著；刘俊，蔡晓妮主编.html</w:t>
      </w:r>
    </w:p>
    <w:p>
      <w:r>
        <w:t>广州:花城出版社,2005.03 出版图书：https://www.jiaokey.com/tag/广州:花城出版社,2005.03.html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