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风险投资国际化</w:t>
      </w:r>
    </w:p>
    <w:p>
      <w:r>
        <w:rPr>
          <w:rFonts w:ascii="宋体" w:hAnsi="宋体" w:eastAsia="宋体"/>
          <w:sz w:val="24"/>
        </w:rPr>
        <w:t>（瑞士）Martin Haemmig著；吴红等译；复旦大学中国风险投资研究中心译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（瑞士）Martin Haemmig著；吴红等译；复旦大学中国风险投资研究中心译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本书出售、求购地址：https://www.jiaokey.com/book/detail/11359501.html</w:t>
      </w:r>
    </w:p>
    <w:p>
      <w:r>
        <w:t>更多相关图书推荐：https://www.jiaokey.com</w:t>
      </w:r>
    </w:p>
    <w:p>
      <w:r>
        <w:t>（瑞士）Martin Haemmig著；吴红等译；复旦大学中国风险投资研究中心译 其他作品：https://www.jiaokey.com/tag/（瑞士）Martin Haemmig著；吴红等译；复旦大学中国风险投资研究中心译.html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关键词搜索：https://www.jiaokey.com/tag/风险投资国际化.html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