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中羲为解决由战争所引起之损害赔偿问题换文</w:t>
      </w:r>
    </w:p>
    <w:p>
      <w:r>
        <w:rPr>
          <w:rFonts w:ascii="宋体" w:hAnsi="宋体" w:eastAsia="宋体"/>
          <w:sz w:val="24"/>
        </w:rPr>
        <w:t>中华民国国民政府外交部编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中羲为解决由战争所引起之损害赔偿问题换文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中华民国国民政府外交部编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本书出售、求购地址：https://www.jiaokey.com/book/detail/11352967.html</w:t>
      </w:r>
    </w:p>
    <w:p>
      <w:r>
        <w:t>更多相关图书推荐：https://www.jiaokey.com</w:t>
      </w:r>
    </w:p>
    <w:p>
      <w:r>
        <w:t>中华民国国民政府外交部编 其他作品：https://www.jiaokey.com/tag/中华民国国民政府外交部编.html</w:t>
      </w:r>
    </w:p>
    <w:p>
      <w:r>
        <w:t>关键词搜索：https://www.jiaokey.com/tag/中羲为解决由战争所引起之损害赔偿问题换文.html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