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四分律行事钞资持记  卷21至卷24</w:t>
      </w:r>
    </w:p>
    <w:p>
      <w:r>
        <w:rPr>
          <w:rFonts w:ascii="宋体" w:hAnsi="宋体" w:eastAsia="宋体"/>
          <w:sz w:val="24"/>
        </w:rPr>
        <w:t>（唐）道宣律祖著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四分律行事钞资持记  卷21至卷24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（唐）道宣律祖著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香港旭日集团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本书出售、求购地址：https://www.jiaokey.com/book/detail/11351306.html</w:t>
      </w:r>
    </w:p>
    <w:p>
      <w:r>
        <w:t>更多相关图书推荐：https://www.jiaokey.com</w:t>
      </w:r>
    </w:p>
    <w:p>
      <w:r>
        <w:t>（唐）道宣律祖著 其他作品：https://www.jiaokey.com/tag/（唐）道宣律祖著.html</w:t>
      </w:r>
    </w:p>
    <w:p>
      <w:r>
        <w:t>香港旭日集团 出版图书：https://www.jiaokey.com/tag/香港旭日集团.html</w:t>
      </w:r>
    </w:p>
    <w:p>
      <w:r>
        <w:t>关键词搜索：https://www.jiaokey.com/tag/四分律行事钞资持记  卷21至卷24.html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