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书名：事情变更原则与货币价值之变动  战时民事立法</w:t>
      </w:r>
    </w:p>
    <w:p>
      <w:r>
        <w:t>作者：吴学义著</w:t>
      </w:r>
    </w:p>
    <w:p>
      <w:r>
        <w:t>出版社：商务印书馆</w:t>
      </w:r>
    </w:p>
    <w:p>
      <w:r>
        <w:t>出版日期：1944.09</w:t>
      </w:r>
    </w:p>
    <w:p>
      <w:r>
        <w:t>总页数：186</w:t>
      </w:r>
    </w:p>
    <w:p>
      <w:r>
        <w:t>更多请访问教客网: www.jiaokey.com</w:t>
      </w:r>
    </w:p>
    <w:p>
      <w:r>
        <w:t>事情变更原则与货币价值之变动  战时民事立法 评论地址：https://www.jiaokey.com/book/detail/11351215.html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