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山东现行财政法规统诠</w:t>
      </w:r>
    </w:p>
    <w:p>
      <w:r>
        <w:rPr>
          <w:rFonts w:ascii="宋体" w:hAnsi="宋体" w:eastAsia="宋体"/>
          <w:sz w:val="24"/>
        </w:rPr>
        <w:t>邵阳罗介邱纂述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山东现行财政法规统诠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邵阳罗介邱纂述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济南五三美术印刷社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本书出售、求购地址：https://www.jiaokey.com/book/detail/11350978.html</w:t>
      </w:r>
    </w:p>
    <w:p>
      <w:r>
        <w:t>更多相关图书推荐：https://www.jiaokey.com</w:t>
      </w:r>
    </w:p>
    <w:p>
      <w:r>
        <w:t>邵阳罗介邱纂述 其他作品：https://www.jiaokey.com/tag/邵阳罗介邱纂述.html</w:t>
      </w:r>
    </w:p>
    <w:p>
      <w:r>
        <w:t>济南五三美术印刷社 出版图书：https://www.jiaokey.com/tag/济南五三美术印刷社.html</w:t>
      </w:r>
    </w:p>
    <w:p>
      <w:r>
        <w:t>关键词搜索：https://www.jiaokey.com/tag/山东现行财政法规统诠.html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