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内国公债汇览</w:t>
      </w:r>
    </w:p>
    <w:p>
      <w:r>
        <w:rPr>
          <w:rFonts w:ascii="宋体" w:hAnsi="宋体" w:eastAsia="宋体"/>
          <w:sz w:val="24"/>
        </w:rPr>
        <w:t>中国银行总司库编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内国公债汇览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中国银行总司库编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本书出售、求购地址：https://www.jiaokey.com/book/detail/11349946.html</w:t>
      </w:r>
    </w:p>
    <w:p>
      <w:r>
        <w:t>更多相关图书推荐：https://www.jiaokey.com</w:t>
      </w:r>
    </w:p>
    <w:p>
      <w:r>
        <w:t>中国银行总司库编 其他作品：https://www.jiaokey.com/tag/中国银行总司库编.html</w:t>
      </w:r>
    </w:p>
    <w:p>
      <w:r>
        <w:t>北京银行周报社 出版图书：https://www.jiaokey.com/tag/北京银行周报社.html</w:t>
      </w:r>
    </w:p>
    <w:p>
      <w:r>
        <w:t>关键词搜索：https://www.jiaokey.com/tag/内国公债汇览.html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