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投资规划</w:t>
      </w:r>
    </w:p>
    <w:p>
      <w:r>
        <w:rPr>
          <w:rFonts w:ascii="宋体" w:hAnsi="宋体" w:eastAsia="宋体"/>
          <w:sz w:val="24"/>
        </w:rPr>
        <w:t>中国金融教育发展基金会金融理财师标准委员会（FPCC）组织编写，刘锋，尹小兵等编著；唐旭，刘锋审订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中国金融教育发展基金会金融理财师标准委员会（FPCC）组织编写，刘锋，尹小兵等编著；唐旭，刘锋审订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本书出售、求购地址：https://www.jiaokey.com/book/detail/11347702.html</w:t>
      </w:r>
    </w:p>
    <w:p>
      <w:r>
        <w:t>更多相关图书推荐：https://www.jiaokey.com</w:t>
      </w:r>
    </w:p>
    <w:p>
      <w:r>
        <w:t>中国金融教育发展基金会金融理财师标准委员会（FPCC）组织编写，刘锋，尹小兵等编著；唐旭，刘锋审订 其他作品：https://www.jiaokey.com/tag/中国金融教育发展基金会金融理财师标准委员会（FPCC）组织编写，刘锋，尹小兵等编著；唐旭，刘锋审订.html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