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德国资合公司法  第3版</w:t>
      </w:r>
    </w:p>
    <w:p>
      <w:r>
        <w:rPr>
          <w:rFonts w:ascii="宋体" w:hAnsi="宋体" w:eastAsia="宋体"/>
          <w:sz w:val="24"/>
        </w:rPr>
        <w:t>（德）托马斯·莱塞尔（Thomas Raiser），（德）吕迪格·法伊尔（Rudiger Veil）著；高旭军等译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德国资合公司法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（德）托马斯·莱塞尔（Thomas Raiser），（德）吕迪格·法伊尔（Rudiger Veil）著；高旭军等译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本书出售、求购地址：https://www.jiaokey.com/book/detail/11342199.html</w:t>
      </w:r>
    </w:p>
    <w:p>
      <w:r>
        <w:t>更多相关图书推荐：https://www.jiaokey.com</w:t>
      </w:r>
    </w:p>
    <w:p>
      <w:r>
        <w:t>（德）托马斯·莱塞尔（Thomas Raiser），（德）吕迪格·法伊尔（Rudiger Veil）著；高旭军等译 其他作品：https://www.jiaokey.com/tag/（德）托马斯·莱塞尔（Thomas Raiser），（德）吕迪格·法伊尔（Rudiger Veil）著；高旭军等译.html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关键词搜索：https://www.jiaokey.com/tag/德国资合公司法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