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新编马克思主义哲学原理</w:t>
      </w:r>
    </w:p>
    <w:p>
      <w:r>
        <w:rPr>
          <w:rFonts w:ascii="宋体" w:hAnsi="宋体" w:eastAsia="宋体"/>
          <w:sz w:val="24"/>
        </w:rPr>
        <w:t>汪华岳主编；魏玉梅，王文明副主编；种海峰，王秀国，刘自觉，张燕华编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新编马克思主义哲学原理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汪华岳主编；魏玉梅，王文明副主编；种海峰，王秀国，刘自觉，张燕华编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本书出售、求购地址：https://www.jiaokey.com/book/detail/11339216.html</w:t>
      </w:r>
    </w:p>
    <w:p>
      <w:r>
        <w:t>更多相关图书推荐：https://www.jiaokey.com</w:t>
      </w:r>
    </w:p>
    <w:p>
      <w:r>
        <w:t>汪华岳主编；魏玉梅，王文明副主编；种海峰，王秀国，刘自觉，张燕华编 其他作品：https://www.jiaokey.com/tag/汪华岳主编；魏玉梅，王文明副主编；种海峰，王秀国，刘自觉，张燕华编.html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关键词搜索：https://www.jiaokey.com/tag/新编马克思主义哲学原理.html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