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政治经济的基本原理</w:t>
      </w:r>
    </w:p>
    <w:p>
      <w:r>
        <w:rPr>
          <w:rFonts w:ascii="宋体" w:hAnsi="宋体" w:eastAsia="宋体"/>
          <w:sz w:val="24"/>
        </w:rPr>
        <w:t>法国查理季特著；永康楼桐孙译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法国查理季特著；永康楼桐孙译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本书出售、求购地址：https://www.jiaokey.com/book/detail/11339047.html</w:t>
      </w:r>
    </w:p>
    <w:p>
      <w:r>
        <w:t>更多相关图书推荐：https://www.jiaokey.com</w:t>
      </w:r>
    </w:p>
    <w:p>
      <w:r>
        <w:t>法国查理季特著；永康楼桐孙译 其他作品：https://www.jiaokey.com/tag/法国查理季特著；永康楼桐孙译.html</w:t>
      </w:r>
    </w:p>
    <w:p>
      <w:r>
        <w:t>上海法政大学 出版图书：https://www.jiaokey.com/tag/上海法政大学.html</w:t>
      </w:r>
    </w:p>
    <w:p>
      <w:r>
        <w:t>关键词搜索：https://www.jiaokey.com/tag/政治经济的基本原理.html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