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如何利用票据承兑和贴现</w:t>
      </w:r>
    </w:p>
    <w:p>
      <w:r>
        <w:rPr>
          <w:rFonts w:ascii="宋体" w:hAnsi="宋体" w:eastAsia="宋体"/>
          <w:sz w:val="24"/>
        </w:rPr>
        <w:t>浙江兴业银行设计处编著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如何利用票据承兑和贴现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浙江兴业银行设计处编著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本书出售、求购地址：https://www.jiaokey.com/book/detail/11336785.html</w:t>
      </w:r>
    </w:p>
    <w:p>
      <w:r>
        <w:t>更多相关图书推荐：https://www.jiaokey.com</w:t>
      </w:r>
    </w:p>
    <w:p>
      <w:r>
        <w:t>浙江兴业银行设计处编著 其他作品：https://www.jiaokey.com/tag/浙江兴业银行设计处编著.html</w:t>
      </w:r>
    </w:p>
    <w:p>
      <w:r>
        <w:t>关键词搜索：https://www.jiaokey.com/tag/如何利用票据承兑和贴现.html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