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修正国定进口税则</w:t>
      </w:r>
    </w:p>
    <w:p>
      <w:r>
        <w:rPr>
          <w:rFonts w:ascii="宋体" w:hAnsi="宋体" w:eastAsia="宋体"/>
          <w:sz w:val="24"/>
        </w:rPr>
        <w:t>上海商品检验局内，国际贸易导报编辑室编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修正国定进口税则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上海商品检验局内，国际贸易导报编辑室编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本书出售、求购地址：https://www.jiaokey.com/book/detail/11336397.html</w:t>
      </w:r>
    </w:p>
    <w:p>
      <w:r>
        <w:t>更多相关图书推荐：https://www.jiaokey.com</w:t>
      </w:r>
    </w:p>
    <w:p>
      <w:r>
        <w:t>上海商品检验局内，国际贸易导报编辑室编 其他作品：https://www.jiaokey.com/tag/上海商品检验局内，国际贸易导报编辑室编.html</w:t>
      </w:r>
    </w:p>
    <w:p>
      <w:r>
        <w:t>黎明书局 出版图书：https://www.jiaokey.com/tag/黎明书局.html</w:t>
      </w:r>
    </w:p>
    <w:p>
      <w:r>
        <w:t>关键词搜索：https://www.jiaokey.com/tag/修正国定进口税则.html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