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马克思学说体系  下</w:t>
      </w:r>
    </w:p>
    <w:p>
      <w:r>
        <w:rPr>
          <w:rFonts w:ascii="宋体" w:hAnsi="宋体" w:eastAsia="宋体"/>
          <w:sz w:val="24"/>
        </w:rPr>
        <w:t>（美国）波丁著；滕固，张志澄译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马克思学说体系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（美国）波丁著；滕固，张志澄译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本书出售、求购地址：https://www.jiaokey.com/book/detail/11335653.html</w:t>
      </w:r>
    </w:p>
    <w:p>
      <w:r>
        <w:t>更多相关图书推荐：https://www.jiaokey.com</w:t>
      </w:r>
    </w:p>
    <w:p>
      <w:r>
        <w:t>（美国）波丁著；滕固，张志澄译 其他作品：https://www.jiaokey.com/tag/（美国）波丁著；滕固，张志澄译.html</w:t>
      </w:r>
    </w:p>
    <w:p>
      <w:r>
        <w:t>未明社 出版图书：https://www.jiaokey.com/tag/未明社.html</w:t>
      </w:r>
    </w:p>
    <w:p>
      <w:r>
        <w:t>关键词搜索：https://www.jiaokey.com/tag/马克思学说体系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