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兽医生物制品及化学治疗药剂使用法</w:t>
      </w:r>
    </w:p>
    <w:p>
      <w:r>
        <w:rPr>
          <w:rFonts w:ascii="宋体" w:hAnsi="宋体" w:eastAsia="宋体"/>
          <w:sz w:val="24"/>
        </w:rPr>
        <w:t>（苏）柯瓦连科（Я.Р.Коваленко）著；文希哲，杜世杰译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兽医生物制品及化学治疗药剂使用法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（苏）柯瓦连科（Я.Р.Коваленко）著；文希哲，杜世杰译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本书出售、求购地址：https://www.jiaokey.com/book/detail/11334021.html</w:t>
      </w:r>
    </w:p>
    <w:p>
      <w:r>
        <w:t>更多相关图书推荐：https://www.jiaokey.com</w:t>
      </w:r>
    </w:p>
    <w:p>
      <w:r>
        <w:t>（苏）柯瓦连科（Я.Р.Коваленко）著；文希哲，杜世杰译 其他作品：https://www.jiaokey.com/tag/（苏）柯瓦连科（Я.Р.Коваленко）著；文希哲，杜世杰译.html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关键词搜索：https://www.jiaokey.com/tag/兽医生物制品及化学治疗药剂使用法.html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