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农业领导干部学习研究班专题材料  我国水产现状和近期的方针政策</w:t>
      </w:r>
    </w:p>
    <w:p>
      <w:r>
        <w:rPr>
          <w:rFonts w:ascii="宋体" w:hAnsi="宋体" w:eastAsia="宋体"/>
          <w:sz w:val="24"/>
        </w:rPr>
        <w:t>国家水产总局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农业领导干部学习研究班专题材料  我国水产现状和近期的方针政策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国家水产总局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农业领导干部学习研究班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本书出售、求购地址：https://www.jiaokey.com/book/detail/11332674.html</w:t>
      </w:r>
    </w:p>
    <w:p>
      <w:r>
        <w:t>更多相关图书推荐：https://www.jiaokey.com</w:t>
      </w:r>
    </w:p>
    <w:p>
      <w:r>
        <w:t>国家水产总局 其他作品：https://www.jiaokey.com/tag/国家水产总局.html</w:t>
      </w:r>
    </w:p>
    <w:p>
      <w:r>
        <w:t>农业领导干部学习研究班 出版图书：https://www.jiaokey.com/tag/农业领导干部学习研究班.html</w:t>
      </w:r>
    </w:p>
    <w:p>
      <w:r>
        <w:t>关键词搜索：https://www.jiaokey.com/tag/农业领导干部学习研究班专题材料  我国水产现状和近期的方针政策.html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