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战略就是命运</w:t>
      </w:r>
    </w:p>
    <w:p>
      <w:r>
        <w:rPr>
          <w:rFonts w:ascii="宋体" w:hAnsi="宋体" w:eastAsia="宋体"/>
          <w:sz w:val="24"/>
        </w:rPr>
        <w:t>（美）罗伯特A.伯格曼（RobertA.Burgelman）著；高梓萍，彭文新，邹立尧等译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战略就是命运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（美）罗伯特A.伯格曼（RobertA.Burgelman）著；高梓萍，彭文新，邹立尧等译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本书出售、求购地址：https://www.jiaokey.com/book/detail/11332395.html</w:t>
      </w:r>
    </w:p>
    <w:p>
      <w:r>
        <w:t>更多相关图书推荐：https://www.jiaokey.com</w:t>
      </w:r>
    </w:p>
    <w:p>
      <w:r>
        <w:t>（美）罗伯特A.伯格曼（RobertA.Burgelman）著；高梓萍，彭文新，邹立尧等译 其他作品：https://www.jiaokey.com/tag/（美）罗伯特A.伯格曼（RobertA.Burgelman）著；高梓萍，彭文新，邹立尧等译.html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关键词搜索：https://www.jiaokey.com/tag/战略就是命运.html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