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柴油机的构造和工作原理</w:t>
      </w:r>
    </w:p>
    <w:p>
      <w:r>
        <w:rPr>
          <w:rFonts w:ascii="宋体" w:hAnsi="宋体" w:eastAsia="宋体"/>
          <w:sz w:val="24"/>
        </w:rPr>
        <w:t>（苏）库罗夫（Б.А.Куров）著；尹士杰，施干青译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柴油机的构造和工作原理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（苏）库罗夫（Б.А.Куров）著；尹士杰，施干青译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本书出售、求购地址：https://www.jiaokey.com/book/detail/11330650.html</w:t>
      </w:r>
    </w:p>
    <w:p>
      <w:r>
        <w:t>更多相关图书推荐：https://www.jiaokey.com</w:t>
      </w:r>
    </w:p>
    <w:p>
      <w:r>
        <w:t>（苏）库罗夫（Б.А.Куров）著；尹士杰，施干青译 其他作品：https://www.jiaokey.com/tag/（苏）库罗夫（Б.А.Куров）著；尹士杰，施干青译.html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关键词搜索：https://www.jiaokey.com/tag/柴油机的构造和工作原理.html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