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农业拖拉机、谷物康拜因主要型号基本技术规格</w:t>
      </w:r>
    </w:p>
    <w:p>
      <w:r>
        <w:rPr>
          <w:rFonts w:ascii="宋体" w:hAnsi="宋体" w:eastAsia="宋体"/>
          <w:sz w:val="24"/>
        </w:rPr>
        <w:t>农业部农业机械局编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农业拖拉机、谷物康拜因主要型号基本技术规格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本书出售、求购地址：https://www.jiaokey.com/book/detail/11329490.html</w:t>
      </w:r>
    </w:p>
    <w:p>
      <w:r>
        <w:t>更多相关图书推荐：https://www.jiaokey.com</w:t>
      </w:r>
    </w:p>
    <w:p>
      <w:r>
        <w:t>农业部农业机械局编 其他作品：https://www.jiaokey.com/tag/农业部农业机械局编.html</w:t>
      </w:r>
    </w:p>
    <w:p>
      <w:r>
        <w:t>农垦出版社 出版图书：https://www.jiaokey.com/tag/农垦出版社.html</w:t>
      </w:r>
    </w:p>
    <w:p>
      <w:r>
        <w:t>关键词搜索：https://www.jiaokey.com/tag/农业拖拉机、谷物康拜因主要型号基本技术规格.html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