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以色列2000年  民族和地域的历史</w:t>
      </w:r>
    </w:p>
    <w:p>
      <w:r>
        <w:rPr>
          <w:rFonts w:ascii="宋体" w:hAnsi="宋体" w:eastAsia="宋体"/>
          <w:sz w:val="24"/>
        </w:rPr>
        <w:t>（以）丹·巴哈特，（以）拉姆·本-沙洛姆著；徐新等译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以色列2000年  民族和地域的历史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（以）丹·巴哈特，（以）拉姆·本-沙洛姆著；徐新等译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本书出售、求购地址：https://www.jiaokey.com/book/detail/11328164.html</w:t>
      </w:r>
    </w:p>
    <w:p>
      <w:r>
        <w:t>更多相关图书推荐：https://www.jiaokey.com</w:t>
      </w:r>
    </w:p>
    <w:p>
      <w:r>
        <w:t>（以）丹·巴哈特，（以）拉姆·本-沙洛姆著；徐新等译 其他作品：https://www.jiaokey.com/tag/（以）丹·巴哈特，（以）拉姆·本-沙洛姆著；徐新等译.html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关键词搜索：https://www.jiaokey.com/tag/以色列2000年  民族和地域的历史.html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