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东方哲学史  东方哲学特质的分析</w:t>
      </w:r>
    </w:p>
    <w:p>
      <w:r>
        <w:rPr>
          <w:rFonts w:ascii="宋体" w:hAnsi="宋体" w:eastAsia="宋体"/>
          <w:sz w:val="24"/>
        </w:rPr>
        <w:t>（日）秋泽修二著；汪耀三，刘执之译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东方哲学史  东方哲学特质的分析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（日）秋泽修二著；汪耀三，刘执之译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本书出售、求购地址：https://www.jiaokey.com/book/detail/11327009.html</w:t>
      </w:r>
    </w:p>
    <w:p>
      <w:r>
        <w:t>更多相关图书推荐：https://www.jiaokey.com</w:t>
      </w:r>
    </w:p>
    <w:p>
      <w:r>
        <w:t>（日）秋泽修二著；汪耀三，刘执之译 其他作品：https://www.jiaokey.com/tag/（日）秋泽修二著；汪耀三，刘执之译.html</w:t>
      </w:r>
    </w:p>
    <w:p>
      <w:r>
        <w:t>生活书店 出版图书：https://www.jiaokey.com/tag/生活书店.html</w:t>
      </w:r>
    </w:p>
    <w:p>
      <w:r>
        <w:t>关键词搜索：https://www.jiaokey.com/tag/东方哲学史  东方哲学特质的分析.html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