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接触硬化胶凝材料及复合材料</w:t>
      </w:r>
    </w:p>
    <w:p>
      <w:r>
        <w:rPr>
          <w:rFonts w:ascii="宋体" w:hAnsi="宋体" w:eastAsia="宋体"/>
          <w:sz w:val="24"/>
        </w:rPr>
        <w:t>（乌克兰）格鲁荷夫斯基（В.Д.Глуховский）等著；蒲心诚译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接触硬化胶凝材料及复合材料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（乌克兰）格鲁荷夫斯基（В.Д.Глуховский）等著；蒲心诚译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本书出售、求购地址：https://www.jiaokey.com/book/detail/11323871.html</w:t>
      </w:r>
    </w:p>
    <w:p>
      <w:r>
        <w:t>更多相关图书推荐：https://www.jiaokey.com</w:t>
      </w:r>
    </w:p>
    <w:p>
      <w:r>
        <w:t>（乌克兰）格鲁荷夫斯基（В.Д.Глуховский）等著；蒲心诚译 其他作品：https://www.jiaokey.com/tag/（乌克兰）格鲁荷夫斯基（В.Д.Глуховский）等著；蒲心诚译.html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关键词搜索：https://www.jiaokey.com/tag/接触硬化胶凝材料及复合材料.html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