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无性杂种种子后代中生物化学获得性的遗传</w:t>
      </w:r>
    </w:p>
    <w:p>
      <w:r>
        <w:rPr>
          <w:rFonts w:ascii="宋体" w:hAnsi="宋体" w:eastAsia="宋体"/>
          <w:sz w:val="24"/>
        </w:rPr>
        <w:t>（苏）西萨江（Н.М.Сисакян）等著；孙家麟，张伟成译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无性杂种种子后代中生物化学获得性的遗传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（苏）西萨江（Н.М.Сисакян）等著；孙家麟，张伟成译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本书出售、求购地址：https://www.jiaokey.com/book/detail/11320723.html</w:t>
      </w:r>
    </w:p>
    <w:p>
      <w:r>
        <w:t>更多相关图书推荐：https://www.jiaokey.com</w:t>
      </w:r>
    </w:p>
    <w:p>
      <w:r>
        <w:t>（苏）西萨江（Н.М.Сисакян）等著；孙家麟，张伟成译 其他作品：https://www.jiaokey.com/tag/（苏）西萨江（Н.М.Сисакян）等著；孙家麟，张伟成译.html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关键词搜索：https://www.jiaokey.com/tag/无性杂种种子后代中生物化学获得性的遗传.html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