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液态金属载热剂</w:t>
      </w:r>
    </w:p>
    <w:p>
      <w:r>
        <w:rPr>
          <w:rFonts w:ascii="宋体" w:hAnsi="宋体" w:eastAsia="宋体"/>
          <w:sz w:val="24"/>
        </w:rPr>
        <w:t>C.C.库达杰拉兹等著  贺平译  “原子能”编译委员会编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液态金属载热剂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C.C.库达杰拉兹等著  贺平译  “原子能”编译委员会编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本书出售、求购地址：https://www.jiaokey.com/book/detail/11318796.html</w:t>
      </w:r>
    </w:p>
    <w:p>
      <w:r>
        <w:t>更多相关图书推荐：https://www.jiaokey.com</w:t>
      </w:r>
    </w:p>
    <w:p>
      <w:r>
        <w:t>C.C.库达杰拉兹等著  贺平译  “原子能”编译委员会编 其他作品：https://www.jiaokey.com/tag/C.C.库达杰拉兹等著  贺平译  “原子能”编译委员会编.html</w:t>
      </w:r>
    </w:p>
    <w:p>
      <w:r>
        <w:t>科学出版社 出版图书：https://www.jiaokey.com/tag/科学出版社.html</w:t>
      </w:r>
    </w:p>
    <w:p>
      <w:r>
        <w:t>关键词搜索：https://www.jiaokey.com/tag/液态金属载热剂.html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