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农业化学分析法 AOAC分析法 下</w:t>
      </w:r>
    </w:p>
    <w:p>
      <w:r>
        <w:rPr>
          <w:rFonts w:ascii="宋体" w:hAnsi="宋体" w:eastAsia="宋体"/>
          <w:sz w:val="24"/>
        </w:rPr>
        <w:t>美国农业化学家协会编；徐宗稼，汪时中，王狱，林公际，丁新腾，庄晚芳，叶兰生，杨济秋，朱润生等译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农业化学分析法 AOAC分析法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美国农业化学家协会编；徐宗稼，汪时中，王狱，林公际，丁新腾，庄晚芳，叶兰生，杨济秋，朱润生等译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本书出售、求购地址：https://www.jiaokey.com/book/detail/11318649.html</w:t>
      </w:r>
    </w:p>
    <w:p>
      <w:r>
        <w:t>更多相关图书推荐：https://www.jiaokey.com</w:t>
      </w:r>
    </w:p>
    <w:p>
      <w:r>
        <w:t>美国农业化学家协会编；徐宗稼，汪时中，王狱，林公际，丁新腾，庄晚芳，叶兰生，杨济秋，朱润生等译 其他作品：https://www.jiaokey.com/tag/美国农业化学家协会编；徐宗稼，汪时中，王狱，林公际，丁新腾，庄晚芳，叶兰生，杨济秋，朱润生等译.html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关键词搜索：https://www.jiaokey.com/tag/农业化学分析法 AOAC分析法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