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火光</w:t>
      </w:r>
    </w:p>
    <w:p>
      <w:r>
        <w:rPr>
          <w:rFonts w:ascii="宋体" w:hAnsi="宋体" w:eastAsia="宋体"/>
          <w:sz w:val="24"/>
        </w:rPr>
        <w:t>（苏）格里布科夫（Грибков）著；叶秀扬译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（苏）格里布科夫（Грибков）著；叶秀扬译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本书出售、求购地址：https://www.jiaokey.com/book/detail/11317838.html</w:t>
      </w:r>
    </w:p>
    <w:p>
      <w:r>
        <w:t>更多相关图书推荐：https://www.jiaokey.com</w:t>
      </w:r>
    </w:p>
    <w:p>
      <w:r>
        <w:t>（苏）格里布科夫（Грибков）著；叶秀扬译 其他作品：https://www.jiaokey.com/tag/（苏）格里布科夫（Грибков）著；叶秀扬译.html</w:t>
      </w:r>
    </w:p>
    <w:p>
      <w:r>
        <w:t>泥土社 出版图书：https://www.jiaokey.com/tag/泥土社.html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