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</w:t>
      </w:r>
    </w:p>
    <w:p>
      <w:r>
        <w:rPr>
          <w:rFonts w:ascii="宋体" w:hAnsi="宋体" w:eastAsia="宋体"/>
          <w:sz w:val="24"/>
        </w:rPr>
        <w:t>张凤琴主编；张月玲，宁焰，张青凤，张凤琴，张水平编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张凤琴主编；张月玲，宁焰，张青凤，张凤琴，张水平编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本书出售、求购地址：https://www.jiaokey.com/book/detail/11313654.html</w:t>
      </w:r>
    </w:p>
    <w:p>
      <w:r>
        <w:t>更多相关图书推荐：https://www.jiaokey.com</w:t>
      </w:r>
    </w:p>
    <w:p>
      <w:r>
        <w:t>张凤琴主编；张月玲，宁焰，张青凤，张凤琴，张水平编 其他作品：https://www.jiaokey.com/tag/张凤琴主编；张月玲，宁焰，张青凤，张凤琴，张水平编.html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关键词搜索：https://www.jiaokey.com/tag/数据库原理与应用.html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