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第16章  木工机床的主要部件</w:t>
      </w:r>
    </w:p>
    <w:p>
      <w:r>
        <w:rPr>
          <w:rFonts w:ascii="宋体" w:hAnsi="宋体" w:eastAsia="宋体"/>
          <w:sz w:val="24"/>
        </w:rPr>
        <w:t>曼约斯，阿法拉赛也夫，马可夫斯基著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第16章  木工机床的主要部件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曼约斯，阿法拉赛也夫，马可夫斯基著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本书出售、求购地址：https://www.jiaokey.com/book/detail/11313193.html</w:t>
      </w:r>
    </w:p>
    <w:p>
      <w:r>
        <w:t>更多相关图书推荐：https://www.jiaokey.com</w:t>
      </w:r>
    </w:p>
    <w:p>
      <w:r>
        <w:t>曼约斯，阿法拉赛也夫，马可夫斯基著 其他作品：https://www.jiaokey.com/tag/曼约斯，阿法拉赛也夫，马可夫斯基著.html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第16章  木工机床的主要部件.html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