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匈牙利的经济体制改革</w:t>
      </w:r>
    </w:p>
    <w:p>
      <w:r>
        <w:rPr>
          <w:rFonts w:ascii="宋体" w:hAnsi="宋体" w:eastAsia="宋体"/>
          <w:sz w:val="24"/>
        </w:rPr>
        <w:t>杨效农主编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匈牙利的经济体制改革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杨效农主编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《参考消息》编辑部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本书出售、求购地址：https://www.jiaokey.com/book/detail/11313083.html</w:t>
      </w:r>
    </w:p>
    <w:p>
      <w:r>
        <w:t>更多相关图书推荐：https://www.jiaokey.com</w:t>
      </w:r>
    </w:p>
    <w:p>
      <w:r>
        <w:t>杨效农主编 其他作品：https://www.jiaokey.com/tag/杨效农主编.html</w:t>
      </w:r>
    </w:p>
    <w:p>
      <w:r>
        <w:t>《参考消息》编辑部 出版图书：https://www.jiaokey.com/tag/《参考消息》编辑部.html</w:t>
      </w:r>
    </w:p>
    <w:p>
      <w:r>
        <w:t>关键词搜索：https://www.jiaokey.com/tag/匈牙利的经济体制改革.html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