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科特勒新思维  持续营销模型及亚洲案例</w:t>
      </w:r>
    </w:p>
    <w:p>
      <w:r>
        <w:rPr>
          <w:rFonts w:ascii="宋体" w:hAnsi="宋体" w:eastAsia="宋体"/>
          <w:sz w:val="24"/>
        </w:rPr>
        <w:t>菲利普·科特勒（Philip Kotler）等著；胡左浩，贾崧译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科特勒新思维  持续营销模型及亚洲案例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菲利普·科特勒（Philip Kotler）等著；胡左浩，贾崧译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本书出售、求购地址：https://www.jiaokey.com/book/detail/11312780.html</w:t>
      </w:r>
    </w:p>
    <w:p>
      <w:r>
        <w:t>更多相关图书推荐：https://www.jiaokey.com</w:t>
      </w:r>
    </w:p>
    <w:p>
      <w:r>
        <w:t>菲利普·科特勒（Philip Kotler）等著；胡左浩，贾崧译 其他作品：https://www.jiaokey.com/tag/菲利普·科特勒（Philip Kotler）等著；胡左浩，贾崧译.html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关键词搜索：https://www.jiaokey.com/tag/科特勒新思维  持续营销模型及亚洲案例.html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