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精确战略十二步</w:t>
      </w:r>
    </w:p>
    <w:p>
      <w:r>
        <w:rPr>
          <w:rFonts w:ascii="宋体" w:hAnsi="宋体" w:eastAsia="宋体"/>
          <w:sz w:val="24"/>
        </w:rPr>
        <w:t>阿伦·S.科乐蓝（Alan S.Cleland），阿尔伯特·V.布鲁诺（Albert V.Bruno）著；石晓军译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精确战略十二步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阿伦·S.科乐蓝（Alan S.Cleland），阿尔伯特·V.布鲁诺（Albert V.Bruno）著；石晓军译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本书出售、求购地址：https://www.jiaokey.com/book/detail/11312452.html</w:t>
      </w:r>
    </w:p>
    <w:p>
      <w:r>
        <w:t>更多相关图书推荐：https://www.jiaokey.com</w:t>
      </w:r>
    </w:p>
    <w:p>
      <w:r>
        <w:t>阿伦·S.科乐蓝（Alan S.Cleland），阿尔伯特·V.布鲁诺（Albert V.Bruno）著；石晓军译 其他作品：https://www.jiaokey.com/tag/阿伦·S.科乐蓝（Alan S.Cleland），阿尔伯特·V.布鲁诺（Albert V.Bruno）著；石晓军译.html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关键词搜索：https://www.jiaokey.com/tag/精确战略十二步.html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