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战略品牌管理</w:t>
      </w:r>
    </w:p>
    <w:p>
      <w:r>
        <w:rPr>
          <w:rFonts w:ascii="宋体" w:hAnsi="宋体" w:eastAsia="宋体"/>
          <w:sz w:val="24"/>
        </w:rPr>
        <w:t>凯文·莱恩·凯勒著；Kevin Lane Keller 李乃和等 译（斯坦福商学院）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凯文·莱恩·凯勒著；Kevin Lane Keller 李乃和等 译（斯坦福商学院）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本书出售、求购地址：https://www.jiaokey.com/book/detail/11309777.html</w:t>
      </w:r>
    </w:p>
    <w:p>
      <w:r>
        <w:t>更多相关图书推荐：https://www.jiaokey.com</w:t>
      </w:r>
    </w:p>
    <w:p>
      <w:r>
        <w:t>凯文·莱恩·凯勒著；Kevin Lane Keller 李乃和等 译（斯坦福商学院） 其他作品：https://www.jiaokey.com/tag/凯文·莱恩·凯勒著；Kevin Lane Keller 李乃和等 译（斯坦福商学院）.html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关键词搜索：https://www.jiaokey.com/tag/战略品牌管理.html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