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怎样画动物</w:t>
      </w:r>
    </w:p>
    <w:p>
      <w:r>
        <w:rPr>
          <w:rFonts w:ascii="宋体" w:hAnsi="宋体" w:eastAsia="宋体"/>
          <w:sz w:val="24"/>
        </w:rPr>
        <w:t>（美）哈蒙德著；刘玉民，周烨译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怎样画动物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（美）哈蒙德著；刘玉民，周烨译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本书出售、求购地址：https://www.jiaokey.com/book/detail/11309545.html</w:t>
      </w:r>
    </w:p>
    <w:p>
      <w:r>
        <w:t>更多相关图书推荐：https://www.jiaokey.com</w:t>
      </w:r>
    </w:p>
    <w:p>
      <w:r>
        <w:t>（美）哈蒙德著；刘玉民，周烨译 其他作品：https://www.jiaokey.com/tag/（美）哈蒙德著；刘玉民，周烨译.html</w:t>
      </w:r>
    </w:p>
    <w:p>
      <w:r>
        <w:t>上海：上海画报出版社 出版图书：https://www.jiaokey.com/tag/上海：上海画报出版社.html</w:t>
      </w:r>
    </w:p>
    <w:p>
      <w:r>
        <w:t>关键词搜索：https://www.jiaokey.com/tag/怎样画动物.html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