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联盟优势</w:t>
      </w:r>
    </w:p>
    <w:p>
      <w:r>
        <w:rPr>
          <w:rFonts w:ascii="宋体" w:hAnsi="宋体" w:eastAsia="宋体"/>
          <w:sz w:val="24"/>
        </w:rPr>
        <w:t>（美）伊夫·多兹（Yves L. Doze），（美）加里·哈默尔（Gary Hamel）著；郭旭力，鲜红霞译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联盟优势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（美）伊夫·多兹（Yves L. Doze），（美）加里·哈默尔（Gary Hamel）著；郭旭力，鲜红霞译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本书出售、求购地址：https://www.jiaokey.com/book/detail/11309327.html</w:t>
      </w:r>
    </w:p>
    <w:p>
      <w:r>
        <w:t>更多相关图书推荐：https://www.jiaokey.com</w:t>
      </w:r>
    </w:p>
    <w:p>
      <w:r>
        <w:t>（美）伊夫·多兹（Yves L. Doze），（美）加里·哈默尔（Gary Hamel）著；郭旭力，鲜红霞译 其他作品：https://www.jiaokey.com/tag/（美）伊夫·多兹（Yves L. Doze），（美）加里·哈默尔（Gary Hamel）著；郭旭力，鲜红霞译.html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关键词搜索：https://www.jiaokey.com/tag/联盟优势.html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