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  闲暇</w:t>
      </w:r>
    </w:p>
    <w:p>
      <w:r>
        <w:rPr>
          <w:rFonts w:ascii="宋体" w:hAnsi="宋体" w:eastAsia="宋体"/>
          <w:sz w:val="24"/>
        </w:rPr>
        <w:t>（法）安·皮·德·芒迪亚格（A.P.de Mandiagues）著；周国栋，李胥森译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  闲暇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（法）安·皮·德·芒迪亚格（A.P.de Mandiagues）著；周国栋，李胥森译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本书出售、求购地址：https://www.jiaokey.com/book/detail/11305114.html</w:t>
      </w:r>
    </w:p>
    <w:p>
      <w:r>
        <w:t>更多相关图书推荐：https://www.jiaokey.com</w:t>
      </w:r>
    </w:p>
    <w:p>
      <w:r>
        <w:t>（法）安·皮·德·芒迪亚格（A.P.de Mandiagues）著；周国栋，李胥森译 其他作品：https://www.jiaokey.com/tag/（法）安·皮·德·芒迪亚格（A.P.de Mandiagues）著；周国栋，李胥森译.html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关键词搜索：https://www.jiaokey.com/tag/摩托车  闲暇.html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