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当代楼梯设计典例</w:t>
      </w:r>
    </w:p>
    <w:p>
      <w:r>
        <w:rPr>
          <w:rFonts w:ascii="宋体" w:hAnsi="宋体" w:eastAsia="宋体"/>
          <w:sz w:val="24"/>
        </w:rPr>
        <w:t>（英）凯瑟琳·斯莱瑟编著；詹艳辉等译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当代楼梯设计典例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（英）凯瑟琳·斯莱瑟编著；詹艳辉等译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本书出售、求购地址：https://www.jiaokey.com/book/detail/11302727.html</w:t>
      </w:r>
    </w:p>
    <w:p>
      <w:r>
        <w:t>更多相关图书推荐：https://www.jiaokey.com</w:t>
      </w:r>
    </w:p>
    <w:p>
      <w:r>
        <w:t>（英）凯瑟琳·斯莱瑟编著；詹艳辉等译 其他作品：https://www.jiaokey.com/tag/（英）凯瑟琳·斯莱瑟编著；詹艳辉等译.html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关键词搜索：https://www.jiaokey.com/tag/当代楼梯设计典例.html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