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95使用指南</w:t>
      </w:r>
    </w:p>
    <w:p>
      <w:r>
        <w:rPr>
          <w:rFonts w:ascii="宋体" w:hAnsi="宋体" w:eastAsia="宋体"/>
          <w:sz w:val="24"/>
        </w:rPr>
        <w:t>田文治主编；王东宇，陈跃琴，熊志勇，周育才，彭勇，梁流芬编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田文治主编；王东宇，陈跃琴，熊志勇，周育才，彭勇，梁流芬编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本书出售、求购地址：https://www.jiaokey.com/book/detail/11291909.html</w:t>
      </w:r>
    </w:p>
    <w:p>
      <w:r>
        <w:t>更多相关图书推荐：https://www.jiaokey.com</w:t>
      </w:r>
    </w:p>
    <w:p>
      <w:r>
        <w:t>田文治主编；王东宇，陈跃琴，熊志勇，周育才，彭勇，梁流芬编 其他作品：https://www.jiaokey.com/tag/田文治主编；王东宇，陈跃琴，熊志勇，周育才，彭勇，梁流芬编.html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关键词搜索：https://www.jiaokey.com/tag/中文Windows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