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绘画一点通  素描静物  中级班</w:t>
      </w:r>
    </w:p>
    <w:p>
      <w:r>
        <w:rPr>
          <w:rFonts w:ascii="宋体" w:hAnsi="宋体" w:eastAsia="宋体"/>
          <w:sz w:val="24"/>
        </w:rPr>
        <w:t>邱丽君编著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绘画一点通  素描静物  中级班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本书出售、求购地址：https://www.jiaokey.com/book/detail/11289208.html</w:t>
      </w:r>
    </w:p>
    <w:p>
      <w:r>
        <w:t>更多相关图书推荐：https://www.jiaokey.com</w:t>
      </w:r>
    </w:p>
    <w:p>
      <w:r>
        <w:t>邱丽君编著 其他作品：https://www.jiaokey.com/tag/邱丽君编著.html</w:t>
      </w:r>
    </w:p>
    <w:p>
      <w:r>
        <w:t>杭州：西泠印社 出版图书：https://www.jiaokey.com/tag/杭州：西泠印社.html</w:t>
      </w:r>
    </w:p>
    <w:p>
      <w:r>
        <w:t>关键词搜索：https://www.jiaokey.com/tag/绘画一点通  素描静物  中级班.html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