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建筑抗震设计新方法及例题：根据《建筑抗震设计规范》GBJ11 89编写</w:t>
      </w:r>
    </w:p>
    <w:p>
      <w:r>
        <w:rPr>
          <w:rFonts w:ascii="宋体" w:hAnsi="宋体" w:eastAsia="宋体"/>
          <w:sz w:val="24"/>
        </w:rPr>
        <w:t>戴国莹  钟益村著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建筑抗震设计新方法及例题：根据《建筑抗震设计规范》GBJ11 89编写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戴国莹  钟益村著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本书出售、求购地址：https://www.jiaokey.com/book/detail/11286066.html</w:t>
      </w:r>
    </w:p>
    <w:p>
      <w:r>
        <w:t>更多相关图书推荐：https://www.jiaokey.com</w:t>
      </w:r>
    </w:p>
    <w:p>
      <w:r>
        <w:t>戴国莹  钟益村著 其他作品：https://www.jiaokey.com/tag/戴国莹  钟益村著.html</w:t>
      </w:r>
    </w:p>
    <w:p>
      <w:r>
        <w:t>关键词搜索：https://www.jiaokey.com/tag/建筑抗震设计新方法及例题：根据《建筑抗震设计规范》GBJ11 89编写.html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