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美联储实施货币政策的经验及其借鉴意义</w:t>
      </w:r>
    </w:p>
    <w:p>
      <w:r>
        <w:rPr>
          <w:rFonts w:ascii="宋体" w:hAnsi="宋体" w:eastAsia="宋体"/>
          <w:sz w:val="24"/>
        </w:rPr>
        <w:t>易定红著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美联储实施货币政策的经验及其借鉴意义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本书出售、求购地址：https://www.jiaokey.com/book/detail/11284922.html</w:t>
      </w:r>
    </w:p>
    <w:p>
      <w:r>
        <w:t>更多相关图书推荐：https://www.jiaokey.com</w:t>
      </w:r>
    </w:p>
    <w:p>
      <w:r>
        <w:t>易定红著 其他作品：https://www.jiaokey.com/tag/易定红著.html</w:t>
      </w:r>
    </w:p>
    <w:p>
      <w:r>
        <w:t>关键词搜索：https://www.jiaokey.com/tag/美联储实施货币政策的经验及其借鉴意义.html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