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新编计算机应用基础实验指导</w:t>
      </w:r>
    </w:p>
    <w:p>
      <w:r>
        <w:rPr>
          <w:rFonts w:ascii="宋体" w:hAnsi="宋体" w:eastAsia="宋体"/>
          <w:sz w:val="24"/>
        </w:rPr>
        <w:t>杨桦主编；尹华国，王扬才，兰锐，伍德军，李秀疆，徐均，郭镭镭参编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杨桦主编；尹华国，王扬才，兰锐，伍德军，李秀疆，徐均，郭镭镭参编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本书出售、求购地址：https://www.jiaokey.com/book/detail/11282569.html</w:t>
      </w:r>
    </w:p>
    <w:p>
      <w:r>
        <w:t>更多相关图书推荐：https://www.jiaokey.com</w:t>
      </w:r>
    </w:p>
    <w:p>
      <w:r>
        <w:t>杨桦主编；尹华国，王扬才，兰锐，伍德军，李秀疆，徐均，郭镭镭参编 其他作品：https://www.jiaokey.com/tag/杨桦主编；尹华国，王扬才，兰锐，伍德军，李秀疆，徐均，郭镭镭参编.html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