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</w:t>
      </w:r>
    </w:p>
    <w:p>
      <w:r>
        <w:rPr>
          <w:rFonts w:ascii="宋体" w:hAnsi="宋体" w:eastAsia="宋体"/>
          <w:sz w:val="24"/>
        </w:rPr>
        <w:t>温子梅主编；姚琛，姜永生，张定辉副主编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温子梅主编；姚琛，姜永生，张定辉副主编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本书出售、求购地址：https://www.jiaokey.com/book/detail/11282533.html</w:t>
      </w:r>
    </w:p>
    <w:p>
      <w:r>
        <w:t>更多相关图书推荐：https://www.jiaokey.com</w:t>
      </w:r>
    </w:p>
    <w:p>
      <w:r>
        <w:t>温子梅主编；姚琛，姜永生，张定辉副主编 其他作品：https://www.jiaokey.com/tag/温子梅主编；姚琛，姜永生，张定辉副主编.html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