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房地产法规选编  附录：香港、台湾地区法规</w:t>
      </w:r>
    </w:p>
    <w:p>
      <w:r>
        <w:rPr>
          <w:rFonts w:ascii="宋体" w:hAnsi="宋体" w:eastAsia="宋体"/>
          <w:sz w:val="24"/>
        </w:rPr>
        <w:t>建设部房地产业司编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房地产法规选编  附录：香港、台湾地区法规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上春市房地产经济研究会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本书出售、求购地址：https://www.jiaokey.com/book/detail/11281453.html</w:t>
      </w:r>
    </w:p>
    <w:p>
      <w:r>
        <w:t>更多相关图书推荐：https://www.jiaokey.com</w:t>
      </w:r>
    </w:p>
    <w:p>
      <w:r>
        <w:t>建设部房地产业司编 其他作品：https://www.jiaokey.com/tag/建设部房地产业司编.html</w:t>
      </w:r>
    </w:p>
    <w:p>
      <w:r>
        <w:t>上春市房地产经济研究会 出版图书：https://www.jiaokey.com/tag/上春市房地产经济研究会.html</w:t>
      </w:r>
    </w:p>
    <w:p>
      <w:r>
        <w:t>关键词搜索：https://www.jiaokey.com/tag/房地产法规选编  附录：香港、台湾地区法规.html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