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变革国家中公司发展战略</w:t>
      </w:r>
    </w:p>
    <w:p>
      <w:r>
        <w:rPr>
          <w:rFonts w:ascii="宋体" w:hAnsi="宋体" w:eastAsia="宋体"/>
          <w:sz w:val="24"/>
        </w:rPr>
        <w:t>（美）H.伊戈尔·安索夫（H.Igor Ansoff），（美）彼得·H.安东尼奥（Peter H.Antoniou）著；曾立芸，安砚贞译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变革国家中公司发展战略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（美）H.伊戈尔·安索夫（H.Igor Ansoff），（美）彼得·H.安东尼奥（Peter H.Antoniou）著；曾立芸，安砚贞译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本书出售、求购地址：https://www.jiaokey.com/book/detail/11280014.html</w:t>
      </w:r>
    </w:p>
    <w:p>
      <w:r>
        <w:t>更多相关图书推荐：https://www.jiaokey.com</w:t>
      </w:r>
    </w:p>
    <w:p>
      <w:r>
        <w:t>（美）H.伊戈尔·安索夫（H.Igor Ansoff），（美）彼得·H.安东尼奥（Peter H.Antoniou）著；曾立芸，安砚贞译 其他作品：https://www.jiaokey.com/tag/（美）H.伊戈尔·安索夫（H.Igor Ansoff），（美）彼得·H.安东尼奥（Peter H.Antoniou）著；曾立芸，安砚贞译.html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关键词搜索：https://www.jiaokey.com/tag/变革国家中公司发展战略.html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