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儒商与二十一世纪</w:t>
      </w:r>
    </w:p>
    <w:p>
      <w:r>
        <w:rPr>
          <w:rFonts w:ascii="宋体" w:hAnsi="宋体" w:eastAsia="宋体"/>
          <w:sz w:val="24"/>
        </w:rPr>
        <w:t>陈启智，张树骅主编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50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儒商与二十一世纪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陈启智，张树骅主编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儒家-道德规范-作用-商业经营-研究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本书出售、求购地址：https://www.jiaokey.com/book/detail/11275035.html</w:t>
      </w:r>
    </w:p>
    <w:p>
      <w:r>
        <w:t>更多相关图书推荐：https://www.jiaokey.com</w:t>
      </w:r>
    </w:p>
    <w:p>
      <w:r>
        <w:t>陈启智，张树骅主编 其他作品：https://www.jiaokey.com/tag/陈启智，张树骅主编.html</w:t>
      </w:r>
    </w:p>
    <w:p>
      <w:r>
        <w:t>济南：齐鲁书社 出版图书：https://www.jiaokey.com/tag/济南：齐鲁书社.html</w:t>
      </w:r>
    </w:p>
    <w:p>
      <w:r>
        <w:t>关键词搜索：https://www.jiaokey.com/tag/儒家-道德规范-作用-商业经营-研究.html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