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中国画人物技法资料  1</w:t>
      </w:r>
    </w:p>
    <w:p>
      <w:r>
        <w:rPr>
          <w:rFonts w:ascii="宋体" w:hAnsi="宋体" w:eastAsia="宋体"/>
          <w:sz w:val="24"/>
        </w:rPr>
        <w:t>杨之光，李震坚，吴山明著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中国画人物技法资料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杨之光，李震坚，吴山明著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本书出售、求购地址：https://www.jiaokey.com/book/detail/11274875.html</w:t>
      </w:r>
    </w:p>
    <w:p>
      <w:r>
        <w:t>更多相关图书推荐：https://www.jiaokey.com</w:t>
      </w:r>
    </w:p>
    <w:p>
      <w:r>
        <w:t>杨之光，李震坚，吴山明著 其他作品：https://www.jiaokey.com/tag/杨之光，李震坚，吴山明著.html</w:t>
      </w:r>
    </w:p>
    <w:p>
      <w:r>
        <w:t>上海书法社 出版图书：https://www.jiaokey.com/tag/上海书法社.html</w:t>
      </w:r>
    </w:p>
    <w:p>
      <w:r>
        <w:t>关键词搜索：https://www.jiaokey.com/tag/中国画人物技法资料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