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旅游与游憩规划设计手册</w:t>
      </w:r>
    </w:p>
    <w:p>
      <w:r>
        <w:rPr>
          <w:rFonts w:ascii="宋体" w:hAnsi="宋体" w:eastAsia="宋体"/>
          <w:sz w:val="24"/>
        </w:rPr>
        <w:t>（英）曼纽尔·鲍德-博拉（Manuel Baud-Bovy），（英）弗雷德·劳森（Fred Lawson）著；唐子颖，吴必虎等译校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旅游与游憩规划设计手册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（英）曼纽尔·鲍德-博拉（Manuel Baud-Bovy），（英）弗雷德·劳森（Fred Lawson）著；唐子颖，吴必虎等译校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本书出售、求购地址：https://www.jiaokey.com/book/detail/11273768.html</w:t>
      </w:r>
    </w:p>
    <w:p>
      <w:r>
        <w:t>更多相关图书推荐：https://www.jiaokey.com</w:t>
      </w:r>
    </w:p>
    <w:p>
      <w:r>
        <w:t>（英）曼纽尔·鲍德-博拉（Manuel Baud-Bovy），（英）弗雷德·劳森（Fred Lawson）著；唐子颖，吴必虎等译校 其他作品：https://www.jiaokey.com/tag/（英）曼纽尔·鲍德-博拉（Manuel Baud-Bovy），（英）弗雷德·劳森（Fred Lawson）著；唐子颖，吴必虎等译校.html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关键词搜索：https://www.jiaokey.com/tag/旅游与游憩规划设计手册.html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