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债券组合管理  下</w:t>
      </w:r>
    </w:p>
    <w:p>
      <w:r>
        <w:rPr>
          <w:rFonts w:ascii="宋体" w:hAnsi="宋体" w:eastAsia="宋体"/>
          <w:sz w:val="24"/>
        </w:rPr>
        <w:t>（美）弗兰克·J.法博齐（Frank J.Fabozzi）著；骆玉鼎，高玉泽等译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债券组合管理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（美）弗兰克·J.法博齐（Frank J.Fabozzi）著；骆玉鼎，高玉泽等译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本书出售、求购地址：https://www.jiaokey.com/book/detail/11261535.html</w:t>
      </w:r>
    </w:p>
    <w:p>
      <w:r>
        <w:t>更多相关图书推荐：https://www.jiaokey.com</w:t>
      </w:r>
    </w:p>
    <w:p>
      <w:r>
        <w:t>（美）弗兰克·J.法博齐（Frank J.Fabozzi）著；骆玉鼎，高玉泽等译 其他作品：https://www.jiaokey.com/tag/（美）弗兰克·J.法博齐（Frank J.Fabozzi）著；骆玉鼎，高玉泽等译.html</w:t>
      </w:r>
    </w:p>
    <w:p>
      <w:r>
        <w:t>上海市：上海财经大学出版社 出版图书：https://www.jiaokey.com/tag/上海市：上海财经大学出版社.html</w:t>
      </w:r>
    </w:p>
    <w:p>
      <w:r>
        <w:t>关键词搜索：https://www.jiaokey.com/tag/债券组合管理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